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5F" w:rsidRPr="001026FE" w:rsidRDefault="00346B86" w:rsidP="00077F45">
      <w:pPr>
        <w:pStyle w:val="NoSpacing"/>
        <w:jc w:val="center"/>
        <w:rPr>
          <w:rFonts w:ascii="Lexie Readable" w:hAnsi="Lexie Readable"/>
          <w:b/>
          <w:sz w:val="36"/>
          <w:szCs w:val="36"/>
        </w:rPr>
      </w:pPr>
      <w:r w:rsidRPr="001026FE">
        <w:rPr>
          <w:rFonts w:ascii="Lexie Readable" w:hAnsi="Lexie Readable"/>
          <w:b/>
          <w:sz w:val="36"/>
          <w:szCs w:val="36"/>
        </w:rPr>
        <w:t xml:space="preserve">CE2 : </w:t>
      </w:r>
      <w:r w:rsidR="001026FE" w:rsidRPr="001026FE">
        <w:rPr>
          <w:rFonts w:ascii="Lexie Readable" w:hAnsi="Lexie Readable"/>
          <w:b/>
          <w:sz w:val="36"/>
          <w:szCs w:val="36"/>
        </w:rPr>
        <w:t>Compléter à 1 000</w:t>
      </w:r>
    </w:p>
    <w:p w:rsidR="0077335F" w:rsidRPr="001026FE" w:rsidRDefault="00E23050" w:rsidP="00077F45">
      <w:pPr>
        <w:pStyle w:val="NoSpacing"/>
        <w:jc w:val="center"/>
        <w:rPr>
          <w:rFonts w:ascii="Lexie Readable" w:hAnsi="Lexie Readable"/>
          <w:b/>
          <w:sz w:val="36"/>
          <w:szCs w:val="36"/>
        </w:rPr>
      </w:pPr>
      <w:r w:rsidRPr="001026FE">
        <w:rPr>
          <w:rFonts w:ascii="Lexie Readable" w:hAnsi="Lexie Readable"/>
          <w:b/>
          <w:noProof/>
          <w:sz w:val="36"/>
          <w:szCs w:val="36"/>
          <w:lang w:eastAsia="fr-FR"/>
        </w:rPr>
        <mc:AlternateContent>
          <mc:Choice Requires="wps">
            <w:drawing>
              <wp:anchor distT="0" distB="0" distL="114300" distR="114300" simplePos="0" relativeHeight="251658240" behindDoc="0" locked="0" layoutInCell="1" allowOverlap="1" wp14:anchorId="54586E7A" wp14:editId="5F932CD7">
                <wp:simplePos x="0" y="0"/>
                <wp:positionH relativeFrom="column">
                  <wp:posOffset>-785495</wp:posOffset>
                </wp:positionH>
                <wp:positionV relativeFrom="paragraph">
                  <wp:posOffset>53340</wp:posOffset>
                </wp:positionV>
                <wp:extent cx="7343775" cy="123825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3775" cy="1238250"/>
                        </a:xfrm>
                        <a:prstGeom prst="rect">
                          <a:avLst/>
                        </a:prstGeom>
                        <a:solidFill>
                          <a:srgbClr val="FFFFFF"/>
                        </a:solidFill>
                        <a:ln w="9525">
                          <a:solidFill>
                            <a:srgbClr val="000000"/>
                          </a:solidFill>
                          <a:miter lim="800000"/>
                          <a:headEnd/>
                          <a:tailEnd/>
                        </a:ln>
                      </wps:spPr>
                      <wps:txbx>
                        <w:txbxContent>
                          <w:p w:rsidR="001026FE" w:rsidRPr="001026FE" w:rsidRDefault="001026FE" w:rsidP="001026FE">
                            <w:pPr>
                              <w:rPr>
                                <w:rFonts w:ascii="Lexie Readable" w:hAnsi="Lexie Readable"/>
                                <w:b/>
                                <w:u w:val="single"/>
                              </w:rPr>
                            </w:pPr>
                            <w:r w:rsidRPr="001026FE">
                              <w:rPr>
                                <w:rFonts w:ascii="Lexie Readable" w:hAnsi="Lexie Readable"/>
                                <w:b/>
                                <w:u w:val="single"/>
                              </w:rPr>
                              <w:t>Cycle 2 - Programme 2016</w:t>
                            </w:r>
                          </w:p>
                          <w:p w:rsidR="001026FE" w:rsidRPr="001026FE" w:rsidRDefault="001026FE" w:rsidP="001026FE">
                            <w:pPr>
                              <w:rPr>
                                <w:rFonts w:ascii="Lexie Readable" w:hAnsi="Lexie Readable"/>
                              </w:rPr>
                            </w:pPr>
                            <w:r w:rsidRPr="001026FE">
                              <w:rPr>
                                <w:rFonts w:ascii="Lexie Readable" w:hAnsi="Lexie Readable"/>
                              </w:rPr>
                              <w:t>Maitriser des procédures de dénombrement (décompositions/recompositions, additives ou multiplicatives, utilisations d'unités intermédiaires : dizaines, centaines, en relation ou non avec des groupements). Compléments à la dizaine supérieure, à la centaine supérieure, la multiplication, par une puissance de 10, les doubles et moitiés de nombres d'usage courant,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1.85pt;margin-top:4.2pt;width:578.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qNKQIAAEgEAAAOAAAAZHJzL2Uyb0RvYy54bWysVNuO0zAQfUfiHyy/0zRpS7tR09WqSxHS&#10;AisWPsBxnMTCN8Zu0+Xrd+x0Sxd4QuTB8mTGJ2fOGWd9fdSKHAR4aU1F88mUEmG4baTpKvrt6+7N&#10;ihIfmGmYskZU9FF4er15/Wo9uFIUtreqEUAQxPhycBXtQ3BllnneC838xDphMNla0CxgCF3WABsQ&#10;XausmE7fZoOFxoHlwnt8ezsm6Sbht63g4XPbehGIqihyC2mFtNZxzTZrVnbAXC/5iQb7BxaaSYMf&#10;PUPdssDIHuQfUFpysN62YcKtzmzbSi5SD9hNPv2tm4eeOZF6QXG8O8vk/x8s/3S4ByIb9I4SwzRa&#10;9AVFY6ZTghRRnsH5Eqse3D3EBr27s/y7J8Zue6wSNwB26AVrkFQe67MXB2Lg8Siph4+2QXS2DzYp&#10;dWxBR0DUgByTIY9nQ8QxEI4vl7P5bLlcUMIxlxezVbFIlmWsfD7uwIf3wmoSNxUFJJ/g2eHOh0iH&#10;lc8lib5VstlJpVIAXb1VQA4Mp2OXntQBdnlZpgwZKnq1KBYJ+UXOX0JM0/M3CC0DjrmSuqKrcxEr&#10;o27vTJOGMDCpxj1SVuYkZNRu9CAc6+PJjto2jygp2HGc8frhprfwk5IBR7mi/seegaBEfTBoy1U+&#10;n8fZT8F8sSwwgMtMfZlhhiNURQMl43YbxvuydyC7Hr+UJxmMvUErW5lEjjaPrE68cVyT9qerFe/D&#10;ZZyqfv0ANk8AAAD//wMAUEsDBBQABgAIAAAAIQB9jhUQ4AAAAAsBAAAPAAAAZHJzL2Rvd25yZXYu&#10;eG1sTI/BTsMwEETvSPyDtUjcWrtOBSXEqRCoSBzb9MJtkyxJIF5HsdMGvh73BMfVPs28ybaz7cWJ&#10;Rt85NrBaKhDElas7bgwci91iA8IH5Bp7x2Tgmzxs8+urDNPanXlPp0NoRAxhn6KBNoQhldJXLVn0&#10;SzcQx9+HGy2GeI6NrEc8x3DbS63UnbTYcWxocaDnlqqvw2QNlJ0+4s++eFX2YZeEt7n4nN5fjLm9&#10;mZ8eQQSawx8MF/2oDnl0Kt3EtRe9gcVKJ/eRNbBZg7gAKtFxTGlAq2QNMs/k/w35LwAAAP//AwBQ&#10;SwECLQAUAAYACAAAACEAtoM4kv4AAADhAQAAEwAAAAAAAAAAAAAAAAAAAAAAW0NvbnRlbnRfVHlw&#10;ZXNdLnhtbFBLAQItABQABgAIAAAAIQA4/SH/1gAAAJQBAAALAAAAAAAAAAAAAAAAAC8BAABfcmVs&#10;cy8ucmVsc1BLAQItABQABgAIAAAAIQCuPEqNKQIAAEgEAAAOAAAAAAAAAAAAAAAAAC4CAABkcnMv&#10;ZTJvRG9jLnhtbFBLAQItABQABgAIAAAAIQB9jhUQ4AAAAAsBAAAPAAAAAAAAAAAAAAAAAIMEAABk&#10;cnMvZG93bnJldi54bWxQSwUGAAAAAAQABADzAAAAkAUAAAAA&#10;">
                <v:textbox>
                  <w:txbxContent>
                    <w:p w:rsidR="001026FE" w:rsidRPr="001026FE" w:rsidRDefault="001026FE" w:rsidP="001026FE">
                      <w:pPr>
                        <w:rPr>
                          <w:rFonts w:ascii="Lexie Readable" w:hAnsi="Lexie Readable"/>
                          <w:b/>
                          <w:u w:val="single"/>
                        </w:rPr>
                      </w:pPr>
                      <w:r w:rsidRPr="001026FE">
                        <w:rPr>
                          <w:rFonts w:ascii="Lexie Readable" w:hAnsi="Lexie Readable"/>
                          <w:b/>
                          <w:u w:val="single"/>
                        </w:rPr>
                        <w:t>Cycle 2 - Programme 2016</w:t>
                      </w:r>
                    </w:p>
                    <w:p w:rsidR="001026FE" w:rsidRPr="001026FE" w:rsidRDefault="001026FE" w:rsidP="001026FE">
                      <w:pPr>
                        <w:rPr>
                          <w:rFonts w:ascii="Lexie Readable" w:hAnsi="Lexie Readable"/>
                        </w:rPr>
                      </w:pPr>
                      <w:r w:rsidRPr="001026FE">
                        <w:rPr>
                          <w:rFonts w:ascii="Lexie Readable" w:hAnsi="Lexie Readable"/>
                        </w:rPr>
                        <w:t>Maitriser des procédures de dénombrement (décompositions/recompositions, additives ou multiplicatives, utilisations d'unités intermédiaires : dizaines, centaines, en relation ou non avec des groupements). Compléments à la dizaine supérieure, à la centaine supérieure, la multiplication, par une puissance de 10, les doubles et moitiés de nombres d'usage courant, etc.</w:t>
                      </w:r>
                    </w:p>
                  </w:txbxContent>
                </v:textbox>
              </v:rect>
            </w:pict>
          </mc:Fallback>
        </mc:AlternateContent>
      </w:r>
    </w:p>
    <w:p w:rsidR="0077335F" w:rsidRPr="001026FE" w:rsidRDefault="0077335F" w:rsidP="00077F45">
      <w:pPr>
        <w:pStyle w:val="NoSpacing"/>
        <w:jc w:val="center"/>
        <w:rPr>
          <w:rFonts w:ascii="Lexie Readable" w:hAnsi="Lexie Readable"/>
          <w:b/>
          <w:sz w:val="36"/>
          <w:szCs w:val="36"/>
        </w:rPr>
      </w:pPr>
    </w:p>
    <w:p w:rsidR="001026FE" w:rsidRPr="001026FE" w:rsidRDefault="001026FE" w:rsidP="00077F45">
      <w:pPr>
        <w:pStyle w:val="NoSpacing"/>
        <w:jc w:val="center"/>
        <w:rPr>
          <w:rFonts w:ascii="Lexie Readable" w:hAnsi="Lexie Readable"/>
          <w:b/>
          <w:sz w:val="36"/>
          <w:szCs w:val="36"/>
        </w:rPr>
      </w:pPr>
    </w:p>
    <w:p w:rsidR="001026FE" w:rsidRPr="001026FE" w:rsidRDefault="001026FE" w:rsidP="00077F45">
      <w:pPr>
        <w:pStyle w:val="NoSpacing"/>
        <w:jc w:val="center"/>
        <w:rPr>
          <w:rFonts w:ascii="Lexie Readable" w:hAnsi="Lexie Readable"/>
          <w:b/>
          <w:sz w:val="36"/>
          <w:szCs w:val="36"/>
        </w:rPr>
      </w:pPr>
    </w:p>
    <w:p w:rsidR="001026FE" w:rsidRPr="001026FE" w:rsidRDefault="001026FE" w:rsidP="00077F45">
      <w:pPr>
        <w:pStyle w:val="NoSpacing"/>
        <w:jc w:val="center"/>
        <w:rPr>
          <w:rFonts w:ascii="Lexie Readable" w:hAnsi="Lexie Readable"/>
          <w:b/>
          <w:sz w:val="36"/>
          <w:szCs w:val="36"/>
        </w:rPr>
      </w:pPr>
    </w:p>
    <w:p w:rsidR="00484553" w:rsidRPr="001026FE" w:rsidRDefault="00077F45" w:rsidP="00077F45">
      <w:pPr>
        <w:pStyle w:val="NoSpacing"/>
        <w:jc w:val="center"/>
        <w:rPr>
          <w:rFonts w:ascii="Lexie Readable" w:hAnsi="Lexie Readable"/>
          <w:b/>
          <w:sz w:val="36"/>
          <w:szCs w:val="36"/>
        </w:rPr>
      </w:pPr>
      <w:r w:rsidRPr="001026FE">
        <w:rPr>
          <w:rFonts w:ascii="Lexie Readable" w:hAnsi="Lexie Readable"/>
          <w:b/>
          <w:sz w:val="36"/>
          <w:szCs w:val="36"/>
        </w:rPr>
        <w:t>DEROULEMENT DE LA SEQUENCE</w:t>
      </w:r>
    </w:p>
    <w:tbl>
      <w:tblPr>
        <w:tblpPr w:leftFromText="141" w:rightFromText="141" w:vertAnchor="text" w:horzAnchor="margin" w:tblpX="-1207" w:tblpY="206"/>
        <w:tblW w:w="1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2012"/>
        <w:gridCol w:w="2136"/>
        <w:gridCol w:w="2963"/>
        <w:gridCol w:w="3161"/>
      </w:tblGrid>
      <w:tr w:rsidR="001026FE" w:rsidRPr="003D41EE" w:rsidTr="001005A3">
        <w:tc>
          <w:tcPr>
            <w:tcW w:w="1227" w:type="dxa"/>
          </w:tcPr>
          <w:p w:rsidR="001026FE" w:rsidRPr="0077335F" w:rsidRDefault="001026FE" w:rsidP="001026FE">
            <w:pPr>
              <w:pStyle w:val="NoSpacing"/>
              <w:rPr>
                <w:color w:val="FF0000"/>
              </w:rPr>
            </w:pPr>
            <w:r w:rsidRPr="0077335F">
              <w:rPr>
                <w:color w:val="FF0000"/>
              </w:rPr>
              <w:t>N° de la séance</w:t>
            </w:r>
          </w:p>
          <w:p w:rsidR="001026FE" w:rsidRPr="0077335F" w:rsidRDefault="001026FE" w:rsidP="001026FE">
            <w:pPr>
              <w:pStyle w:val="NoSpacing"/>
              <w:rPr>
                <w:color w:val="FF0000"/>
              </w:rPr>
            </w:pPr>
          </w:p>
        </w:tc>
        <w:tc>
          <w:tcPr>
            <w:tcW w:w="2012" w:type="dxa"/>
          </w:tcPr>
          <w:p w:rsidR="001026FE" w:rsidRPr="003D41EE" w:rsidRDefault="001026FE" w:rsidP="001026FE">
            <w:pPr>
              <w:pStyle w:val="NoSpacing"/>
            </w:pPr>
            <w:r w:rsidRPr="003D41EE">
              <w:t>Etape de la séquence :</w:t>
            </w:r>
          </w:p>
          <w:p w:rsidR="001026FE" w:rsidRPr="003D41EE" w:rsidRDefault="001026FE" w:rsidP="001026FE">
            <w:pPr>
              <w:pStyle w:val="NoSpacing"/>
            </w:pPr>
          </w:p>
        </w:tc>
        <w:tc>
          <w:tcPr>
            <w:tcW w:w="2259" w:type="dxa"/>
          </w:tcPr>
          <w:p w:rsidR="001026FE" w:rsidRPr="003D41EE" w:rsidRDefault="001026FE" w:rsidP="001026FE">
            <w:pPr>
              <w:pStyle w:val="NoSpacing"/>
            </w:pPr>
            <w:r w:rsidRPr="003D41EE">
              <w:t xml:space="preserve">Objectifs de la séance : </w:t>
            </w:r>
          </w:p>
          <w:p w:rsidR="001026FE" w:rsidRPr="003D41EE" w:rsidRDefault="001026FE" w:rsidP="001026FE">
            <w:pPr>
              <w:pStyle w:val="NoSpacing"/>
            </w:pPr>
          </w:p>
        </w:tc>
        <w:tc>
          <w:tcPr>
            <w:tcW w:w="3253" w:type="dxa"/>
          </w:tcPr>
          <w:p w:rsidR="001026FE" w:rsidRPr="003D41EE" w:rsidRDefault="001026FE" w:rsidP="001026FE">
            <w:pPr>
              <w:pStyle w:val="NoSpacing"/>
            </w:pPr>
            <w:r w:rsidRPr="003D41EE">
              <w:t>ENSEIGNANT</w:t>
            </w:r>
          </w:p>
          <w:p w:rsidR="001026FE" w:rsidRPr="003D41EE" w:rsidRDefault="001026FE" w:rsidP="001026FE">
            <w:pPr>
              <w:pStyle w:val="NoSpacing"/>
            </w:pPr>
            <w:r w:rsidRPr="003D41EE">
              <w:t>Questions</w:t>
            </w:r>
            <w:r>
              <w:t xml:space="preserve">, </w:t>
            </w:r>
            <w:r w:rsidRPr="003D41EE">
              <w:t>Modalités</w:t>
            </w:r>
          </w:p>
          <w:p w:rsidR="001026FE" w:rsidRDefault="001026FE" w:rsidP="001026FE">
            <w:pPr>
              <w:pStyle w:val="NoSpacing"/>
            </w:pPr>
            <w:r w:rsidRPr="003D41EE">
              <w:t>Supports</w:t>
            </w:r>
            <w:r>
              <w:t xml:space="preserve">, </w:t>
            </w:r>
            <w:r w:rsidRPr="003D41EE">
              <w:t>Différenciation</w:t>
            </w:r>
          </w:p>
          <w:p w:rsidR="001026FE" w:rsidRPr="003D41EE" w:rsidRDefault="001026FE" w:rsidP="001026FE">
            <w:pPr>
              <w:pStyle w:val="NoSpacing"/>
            </w:pPr>
            <w:r>
              <w:t xml:space="preserve">Obstacles </w:t>
            </w:r>
          </w:p>
        </w:tc>
        <w:tc>
          <w:tcPr>
            <w:tcW w:w="2735" w:type="dxa"/>
          </w:tcPr>
          <w:p w:rsidR="001026FE" w:rsidRPr="003D41EE" w:rsidRDefault="001026FE" w:rsidP="001026FE">
            <w:pPr>
              <w:pStyle w:val="NoSpacing"/>
            </w:pPr>
            <w:r w:rsidRPr="003D41EE">
              <w:t>ELEVES</w:t>
            </w:r>
          </w:p>
          <w:p w:rsidR="001026FE" w:rsidRPr="003D41EE" w:rsidRDefault="001026FE" w:rsidP="001026FE">
            <w:pPr>
              <w:pStyle w:val="NoSpacing"/>
            </w:pPr>
            <w:r w:rsidRPr="003D41EE">
              <w:t>Outils</w:t>
            </w:r>
            <w:r>
              <w:t xml:space="preserve">, </w:t>
            </w:r>
            <w:r w:rsidRPr="003D41EE">
              <w:t>Traces écrites</w:t>
            </w:r>
            <w:r>
              <w:t xml:space="preserve">, </w:t>
            </w:r>
          </w:p>
          <w:p w:rsidR="001026FE" w:rsidRPr="003D41EE" w:rsidRDefault="001026FE" w:rsidP="001026FE">
            <w:pPr>
              <w:pStyle w:val="NoSpacing"/>
            </w:pPr>
            <w:r w:rsidRPr="003D41EE">
              <w:t>Eléments de savoir</w:t>
            </w:r>
            <w:r>
              <w:t>, i</w:t>
            </w:r>
            <w:r w:rsidRPr="003D41EE">
              <w:t>nstitutionnalisés</w:t>
            </w:r>
          </w:p>
        </w:tc>
      </w:tr>
      <w:tr w:rsidR="001026FE" w:rsidRPr="003D41EE" w:rsidTr="001005A3">
        <w:trPr>
          <w:trHeight w:val="2566"/>
        </w:trPr>
        <w:tc>
          <w:tcPr>
            <w:tcW w:w="1227" w:type="dxa"/>
          </w:tcPr>
          <w:p w:rsidR="001026FE" w:rsidRDefault="001026FE" w:rsidP="001026FE">
            <w:pPr>
              <w:pStyle w:val="NoSpacing"/>
              <w:rPr>
                <w:color w:val="FF0000"/>
              </w:rPr>
            </w:pPr>
            <w:r w:rsidRPr="0077335F">
              <w:rPr>
                <w:color w:val="FF0000"/>
              </w:rPr>
              <w:t>N°1</w:t>
            </w:r>
          </w:p>
          <w:p w:rsidR="00ED0B7C" w:rsidRPr="0077335F" w:rsidRDefault="00ED0B7C" w:rsidP="001026FE">
            <w:pPr>
              <w:pStyle w:val="NoSpacing"/>
              <w:rPr>
                <w:color w:val="FF0000"/>
              </w:rPr>
            </w:pPr>
            <w:r>
              <w:rPr>
                <w:color w:val="FF0000"/>
              </w:rPr>
              <w:t>15min</w:t>
            </w: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tc>
        <w:tc>
          <w:tcPr>
            <w:tcW w:w="2012" w:type="dxa"/>
          </w:tcPr>
          <w:p w:rsidR="001026FE" w:rsidRPr="001026FE" w:rsidRDefault="001026FE" w:rsidP="001026FE">
            <w:pPr>
              <w:pStyle w:val="NoSpacing"/>
              <w:rPr>
                <w:u w:val="single"/>
              </w:rPr>
            </w:pPr>
            <w:r w:rsidRPr="001026FE">
              <w:rPr>
                <w:u w:val="single"/>
              </w:rPr>
              <w:t>Découverte</w:t>
            </w:r>
          </w:p>
          <w:p w:rsidR="001026FE" w:rsidRPr="003D41EE" w:rsidRDefault="001026FE" w:rsidP="001026FE">
            <w:pPr>
              <w:pStyle w:val="NoSpacing"/>
            </w:pPr>
            <w:r>
              <w:t>Compléter à 1000 avec des multiples de 100.</w:t>
            </w:r>
            <w:r w:rsidR="00ED0B7C">
              <w:t xml:space="preserve"> </w:t>
            </w:r>
          </w:p>
        </w:tc>
        <w:tc>
          <w:tcPr>
            <w:tcW w:w="2259" w:type="dxa"/>
          </w:tcPr>
          <w:p w:rsidR="00E23050" w:rsidRDefault="00E23050" w:rsidP="001026FE">
            <w:pPr>
              <w:pStyle w:val="NoSpacing"/>
            </w:pPr>
            <w:proofErr w:type="spellStart"/>
            <w:r>
              <w:t>Pré-requis</w:t>
            </w:r>
            <w:proofErr w:type="spellEnd"/>
            <w:r>
              <w:t xml:space="preserve"> : </w:t>
            </w:r>
            <w:r w:rsidR="001026FE">
              <w:t>Connaître les décompositions additives et multiplicatives de 10 et de 100, les comp</w:t>
            </w:r>
            <w:r>
              <w:t>léments à la dizaine supérieure.</w:t>
            </w:r>
            <w:r w:rsidR="001026FE">
              <w:t xml:space="preserve"> </w:t>
            </w:r>
            <w:r>
              <w:t xml:space="preserve">  </w:t>
            </w:r>
            <w:r>
              <w:t>la multiplication par une puissance de 10, les doubles et moitiés de nombres d'usage courant,</w:t>
            </w:r>
          </w:p>
          <w:p w:rsidR="00E23050" w:rsidRDefault="00E23050" w:rsidP="001026FE">
            <w:pPr>
              <w:pStyle w:val="NoSpacing"/>
            </w:pPr>
          </w:p>
          <w:p w:rsidR="001026FE" w:rsidRDefault="00E23050" w:rsidP="001026FE">
            <w:pPr>
              <w:pStyle w:val="NoSpacing"/>
            </w:pPr>
            <w:r>
              <w:t xml:space="preserve">Mener les élèves à transposer leurs connaissances </w:t>
            </w:r>
            <w:r>
              <w:t>à la centaine supérieure.</w:t>
            </w:r>
            <w:r w:rsidR="001026FE">
              <w:t xml:space="preserve"> </w:t>
            </w:r>
          </w:p>
          <w:p w:rsidR="001026FE" w:rsidRDefault="00E23050" w:rsidP="001026FE">
            <w:pPr>
              <w:pStyle w:val="NoSpacing"/>
            </w:pPr>
            <w:r>
              <w:t xml:space="preserve"> </w:t>
            </w:r>
          </w:p>
          <w:p w:rsidR="00E23050" w:rsidRPr="003D41EE" w:rsidRDefault="00E23050" w:rsidP="001026FE">
            <w:pPr>
              <w:pStyle w:val="NoSpacing"/>
            </w:pPr>
            <w:r>
              <w:t xml:space="preserve"> </w:t>
            </w:r>
          </w:p>
        </w:tc>
        <w:tc>
          <w:tcPr>
            <w:tcW w:w="3253" w:type="dxa"/>
          </w:tcPr>
          <w:p w:rsidR="001026FE" w:rsidRDefault="001026FE" w:rsidP="001026FE">
            <w:pPr>
              <w:pStyle w:val="NoSpacing"/>
            </w:pPr>
            <w:r>
              <w:t>Recto : nombre inférieur à 1000 (multiple de 100)</w:t>
            </w:r>
          </w:p>
          <w:p w:rsidR="001026FE" w:rsidRDefault="001026FE" w:rsidP="001026FE">
            <w:pPr>
              <w:pStyle w:val="NoSpacing"/>
            </w:pPr>
            <w:r>
              <w:t>Verso : complément de ce nombre</w:t>
            </w:r>
          </w:p>
          <w:p w:rsidR="001026FE" w:rsidRDefault="001026FE" w:rsidP="001026FE">
            <w:pPr>
              <w:pStyle w:val="NoSpacing"/>
            </w:pPr>
            <w:r>
              <w:t xml:space="preserve">"Mise en situation : Un élève tire une carte, lit le nombre. La carte est posée sur le recto. Les élèves écrivent le complément puis vérifient. </w:t>
            </w:r>
          </w:p>
          <w:p w:rsidR="001026FE" w:rsidRDefault="001026FE" w:rsidP="001026FE">
            <w:pPr>
              <w:pStyle w:val="NoSpacing"/>
            </w:pPr>
            <w:r>
              <w:t xml:space="preserve">Consigne : "Ecrivez sur l'ardoise le complément à 1000 du nombre tiré au sort, puis </w:t>
            </w:r>
            <w:proofErr w:type="spellStart"/>
            <w:r>
              <w:t>vériﬁez</w:t>
            </w:r>
            <w:proofErr w:type="spellEnd"/>
            <w:r>
              <w:t xml:space="preserve"> le résultat en retournant la carte".</w:t>
            </w:r>
          </w:p>
          <w:p w:rsidR="001026FE" w:rsidRDefault="001026FE"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ED0B7C">
            <w:pPr>
              <w:pStyle w:val="NoSpacing"/>
            </w:pPr>
            <w:r>
              <w:t>Consigne : "Associez les dominos dont la somme fait 1000. Se débarrasser de tous ses dominos avant les autres".</w:t>
            </w:r>
          </w:p>
          <w:p w:rsidR="00ED0B7C" w:rsidRPr="003D41EE" w:rsidRDefault="00ED0B7C" w:rsidP="001026FE">
            <w:pPr>
              <w:pStyle w:val="NoSpacing"/>
            </w:pPr>
          </w:p>
        </w:tc>
        <w:tc>
          <w:tcPr>
            <w:tcW w:w="2735" w:type="dxa"/>
          </w:tcPr>
          <w:p w:rsidR="001026FE" w:rsidRDefault="001026FE" w:rsidP="001026FE">
            <w:pPr>
              <w:pStyle w:val="NoSpacing"/>
            </w:pPr>
          </w:p>
          <w:p w:rsidR="00ED0B7C" w:rsidRDefault="00E23050" w:rsidP="001026FE">
            <w:pPr>
              <w:pStyle w:val="NoSpacing"/>
            </w:pPr>
            <w:r>
              <w:t>-ardoise</w:t>
            </w:r>
          </w:p>
          <w:p w:rsidR="00E23050" w:rsidRDefault="00E23050" w:rsidP="001026FE">
            <w:pPr>
              <w:pStyle w:val="NoSpacing"/>
            </w:pPr>
            <w:r>
              <w:t>-cartes domino</w:t>
            </w: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23050" w:rsidP="001026FE">
            <w:pPr>
              <w:pStyle w:val="NoSpacing"/>
            </w:pPr>
            <w:r>
              <w:t>synthèse</w:t>
            </w:r>
            <w:r w:rsidR="00ED0B7C">
              <w:t xml:space="preserve"> : "Pour compléter un nombre à 100, il faut ajouter ce qui manque au nombre pour atteindre 1000"</w:t>
            </w:r>
          </w:p>
          <w:p w:rsidR="00ED0B7C" w:rsidRPr="00ED0B7C" w:rsidRDefault="00ED0B7C" w:rsidP="00ED0B7C">
            <w:pPr>
              <w:pStyle w:val="NoSpacing"/>
              <w:rPr>
                <w:u w:val="single"/>
              </w:rPr>
            </w:pPr>
            <w:r w:rsidRPr="00ED0B7C">
              <w:rPr>
                <w:u w:val="single"/>
              </w:rPr>
              <w:t>Jeu domino</w:t>
            </w:r>
            <w:r w:rsidR="007F4FBD">
              <w:rPr>
                <w:u w:val="single"/>
              </w:rPr>
              <w:t xml:space="preserve"> collectif</w:t>
            </w:r>
          </w:p>
          <w:p w:rsidR="00ED0B7C" w:rsidRDefault="00ED0B7C" w:rsidP="00ED0B7C">
            <w:pPr>
              <w:pStyle w:val="NoSpacing"/>
            </w:pPr>
            <w:r>
              <w:t>1 ou plus, dominos par joueur. Chacun leur tour, les joueurs doivent réunir les compléments. Le vainqueur est celui qui possède le moins de dominos à la fin de la partie.</w:t>
            </w:r>
          </w:p>
          <w:p w:rsidR="00ED0B7C" w:rsidRDefault="00ED0B7C" w:rsidP="00ED0B7C">
            <w:pPr>
              <w:pStyle w:val="NoSpacing"/>
            </w:pPr>
          </w:p>
          <w:p w:rsidR="00ED0B7C" w:rsidRDefault="00ED0B7C" w:rsidP="00ED0B7C">
            <w:pPr>
              <w:pStyle w:val="NoSpacing"/>
            </w:pPr>
          </w:p>
          <w:p w:rsidR="00ED0B7C" w:rsidRDefault="00ED0B7C" w:rsidP="00ED0B7C">
            <w:pPr>
              <w:pStyle w:val="NoSpacing"/>
            </w:pPr>
          </w:p>
          <w:p w:rsidR="00ED0B7C" w:rsidRDefault="00ED0B7C" w:rsidP="00ED0B7C">
            <w:pPr>
              <w:pStyle w:val="NoSpacing"/>
            </w:pPr>
          </w:p>
          <w:p w:rsidR="00ED0B7C" w:rsidRDefault="00ED0B7C" w:rsidP="00ED0B7C">
            <w:pPr>
              <w:pStyle w:val="NoSpacing"/>
            </w:pPr>
          </w:p>
          <w:p w:rsidR="00ED0B7C" w:rsidRDefault="00E23050" w:rsidP="00ED0B7C">
            <w:pPr>
              <w:pStyle w:val="NoSpacing"/>
            </w:pPr>
            <w:r>
              <w:t>Synthèse</w:t>
            </w:r>
            <w:r w:rsidR="00ED0B7C">
              <w:t xml:space="preserve"> : "Pour compléter un nombre à 1000, on complète d'abord à la dizaine supérieure puis, on complète</w:t>
            </w:r>
          </w:p>
          <w:p w:rsidR="00ED0B7C" w:rsidRPr="003D41EE" w:rsidRDefault="00ED0B7C" w:rsidP="00ED0B7C">
            <w:pPr>
              <w:pStyle w:val="NoSpacing"/>
            </w:pPr>
            <w:r>
              <w:t>à la centaine supérieure et enfin à 1000".</w:t>
            </w:r>
          </w:p>
        </w:tc>
      </w:tr>
      <w:tr w:rsidR="001026FE" w:rsidRPr="003D41EE" w:rsidTr="001005A3">
        <w:trPr>
          <w:trHeight w:val="2566"/>
        </w:trPr>
        <w:tc>
          <w:tcPr>
            <w:tcW w:w="1227" w:type="dxa"/>
          </w:tcPr>
          <w:p w:rsidR="001026FE" w:rsidRPr="0077335F" w:rsidRDefault="001026FE" w:rsidP="001026FE">
            <w:pPr>
              <w:pStyle w:val="NoSpacing"/>
              <w:rPr>
                <w:color w:val="FF0000"/>
              </w:rPr>
            </w:pPr>
            <w:r w:rsidRPr="0077335F">
              <w:rPr>
                <w:color w:val="FF0000"/>
              </w:rPr>
              <w:lastRenderedPageBreak/>
              <w:t>N°2</w:t>
            </w: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p w:rsidR="001026FE" w:rsidRPr="0077335F" w:rsidRDefault="001026FE" w:rsidP="001026FE">
            <w:pPr>
              <w:pStyle w:val="NoSpacing"/>
              <w:rPr>
                <w:color w:val="FF0000"/>
              </w:rPr>
            </w:pPr>
          </w:p>
        </w:tc>
        <w:tc>
          <w:tcPr>
            <w:tcW w:w="2012" w:type="dxa"/>
          </w:tcPr>
          <w:p w:rsidR="001026FE" w:rsidRDefault="00ED0B7C" w:rsidP="001026FE">
            <w:pPr>
              <w:pStyle w:val="NoSpacing"/>
            </w:pPr>
            <w:r w:rsidRPr="003D41EE">
              <w:t>I</w:t>
            </w:r>
            <w:r w:rsidR="001026FE" w:rsidRPr="003D41EE">
              <w:t>nstitutionnalisation</w:t>
            </w:r>
          </w:p>
          <w:p w:rsidR="007F4FBD" w:rsidRDefault="007F4FBD" w:rsidP="001026FE">
            <w:pPr>
              <w:pStyle w:val="NoSpacing"/>
            </w:pPr>
            <w:r>
              <w:t>10 min</w:t>
            </w: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ED0B7C" w:rsidRDefault="00ED0B7C"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ED0B7C" w:rsidRPr="003D41EE" w:rsidRDefault="00ED0B7C" w:rsidP="001026FE">
            <w:pPr>
              <w:pStyle w:val="NoSpacing"/>
            </w:pPr>
          </w:p>
          <w:p w:rsidR="001026FE" w:rsidRPr="003D41EE" w:rsidRDefault="001026FE" w:rsidP="001026FE">
            <w:pPr>
              <w:pStyle w:val="NoSpacing"/>
            </w:pPr>
            <w:r w:rsidRPr="003D41EE">
              <w:t>appropriation</w:t>
            </w:r>
          </w:p>
          <w:p w:rsidR="001026FE" w:rsidRDefault="007F4FBD" w:rsidP="001026FE">
            <w:pPr>
              <w:pStyle w:val="NoSpacing"/>
            </w:pPr>
            <w:r>
              <w:t>5min</w:t>
            </w:r>
          </w:p>
          <w:p w:rsidR="007F4FBD" w:rsidRPr="003D41EE" w:rsidRDefault="007F4FBD" w:rsidP="001026FE">
            <w:pPr>
              <w:pStyle w:val="NoSpacing"/>
            </w:pPr>
          </w:p>
        </w:tc>
        <w:tc>
          <w:tcPr>
            <w:tcW w:w="2259" w:type="dxa"/>
          </w:tcPr>
          <w:p w:rsidR="001026FE" w:rsidRPr="003D41EE" w:rsidRDefault="001026FE" w:rsidP="001026FE">
            <w:pPr>
              <w:pStyle w:val="NoSpacing"/>
            </w:pPr>
          </w:p>
        </w:tc>
        <w:tc>
          <w:tcPr>
            <w:tcW w:w="3253" w:type="dxa"/>
          </w:tcPr>
          <w:p w:rsidR="001026FE" w:rsidRDefault="001026FE" w:rsidP="001026FE">
            <w:pPr>
              <w:pStyle w:val="NoSpacing"/>
            </w:pPr>
          </w:p>
          <w:p w:rsidR="00ED0B7C" w:rsidRDefault="00ED0B7C" w:rsidP="001026FE">
            <w:pPr>
              <w:pStyle w:val="NoSpacing"/>
            </w:pPr>
          </w:p>
          <w:p w:rsidR="00ED0B7C" w:rsidRDefault="00ED0B7C" w:rsidP="001026FE">
            <w:pPr>
              <w:pStyle w:val="NoSpacing"/>
            </w:pPr>
          </w:p>
          <w:p w:rsidR="00ED0B7C" w:rsidRDefault="00ED0B7C" w:rsidP="00ED0B7C">
            <w:pPr>
              <w:pStyle w:val="NoSpacing"/>
            </w:pPr>
            <w:r>
              <w:t>Mise en commun : 5 minutes</w:t>
            </w:r>
          </w:p>
          <w:p w:rsidR="00ED0B7C" w:rsidRDefault="00ED0B7C" w:rsidP="00ED0B7C">
            <w:pPr>
              <w:pStyle w:val="NoSpacing"/>
            </w:pPr>
            <w:r>
              <w:t>Les différentes stratégies</w:t>
            </w:r>
          </w:p>
          <w:p w:rsidR="00ED0B7C" w:rsidRDefault="00ED0B7C" w:rsidP="00ED0B7C">
            <w:pPr>
              <w:pStyle w:val="NoSpacing"/>
            </w:pPr>
            <w:r>
              <w:t xml:space="preserve">Noter la plus </w:t>
            </w:r>
            <w:proofErr w:type="spellStart"/>
            <w:r>
              <w:t>eﬃcace</w:t>
            </w:r>
            <w:proofErr w:type="spellEnd"/>
            <w:r>
              <w:t xml:space="preserve"> au tableau : "pour compléter un nombre à 1000, on complète d'abord à la dizaine supérieure puis, on complète à la centaine supérieure et enfin à 1000. On doit ensuite ajouter les compléments".</w:t>
            </w:r>
          </w:p>
          <w:p w:rsidR="00011669" w:rsidRDefault="00011669" w:rsidP="00ED0B7C">
            <w:pPr>
              <w:pStyle w:val="NoSpacing"/>
            </w:pPr>
          </w:p>
          <w:p w:rsidR="00011669" w:rsidRDefault="00011669" w:rsidP="00ED0B7C">
            <w:pPr>
              <w:pStyle w:val="NoSpacing"/>
            </w:pPr>
          </w:p>
          <w:p w:rsidR="00011669" w:rsidRDefault="00011669" w:rsidP="00ED0B7C">
            <w:pPr>
              <w:pStyle w:val="NoSpacing"/>
            </w:pPr>
          </w:p>
          <w:p w:rsidR="00011669" w:rsidRDefault="00011669" w:rsidP="00ED0B7C">
            <w:pPr>
              <w:pStyle w:val="NoSpacing"/>
            </w:pPr>
          </w:p>
          <w:p w:rsidR="00011669" w:rsidRDefault="00011669" w:rsidP="00ED0B7C">
            <w:pPr>
              <w:pStyle w:val="NoSpacing"/>
            </w:pPr>
          </w:p>
          <w:p w:rsidR="00011669" w:rsidRDefault="00011669" w:rsidP="00ED0B7C">
            <w:pPr>
              <w:pStyle w:val="NoSpacing"/>
            </w:pPr>
          </w:p>
          <w:p w:rsidR="00011669" w:rsidRPr="003D41EE" w:rsidRDefault="00011669" w:rsidP="00ED0B7C">
            <w:pPr>
              <w:pStyle w:val="NoSpacing"/>
            </w:pPr>
            <w:r>
              <w:t>On amène les enfants à faire le parallèle entre le complément à 100 si besoin. Toutes les procédures correctes sont acceptées.</w:t>
            </w:r>
          </w:p>
        </w:tc>
        <w:tc>
          <w:tcPr>
            <w:tcW w:w="2735" w:type="dxa"/>
          </w:tcPr>
          <w:p w:rsidR="001026FE" w:rsidRDefault="00ED0B7C" w:rsidP="001026FE">
            <w:pPr>
              <w:pStyle w:val="NoSpacing"/>
            </w:pPr>
            <w:r w:rsidRPr="00ED0B7C">
              <w:t>Jeux de la séance 1 : 8 minutes (rappel des règle</w:t>
            </w:r>
            <w:r>
              <w:t>s)</w:t>
            </w:r>
            <w:r w:rsidR="007F4FBD">
              <w:t xml:space="preserve"> collectif</w:t>
            </w: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p>
          <w:p w:rsidR="007F4FBD" w:rsidRDefault="007F4FBD" w:rsidP="001026FE">
            <w:pPr>
              <w:pStyle w:val="NoSpacing"/>
            </w:pPr>
            <w:r>
              <w:t>Exercice individuel</w:t>
            </w:r>
          </w:p>
          <w:p w:rsidR="007F4FBD" w:rsidRDefault="007F4FBD" w:rsidP="007F4FBD">
            <w:pPr>
              <w:pStyle w:val="NoSpacing"/>
            </w:pPr>
            <w:r>
              <w:t>Compléter à 1000</w:t>
            </w:r>
          </w:p>
          <w:p w:rsidR="003C42DE" w:rsidRDefault="007F4FBD" w:rsidP="00AF6AD0">
            <w:pPr>
              <w:pStyle w:val="NoSpacing"/>
            </w:pPr>
            <w:r>
              <w:t xml:space="preserve">ex : trouver le complément de </w:t>
            </w:r>
            <w:r w:rsidR="00AF6AD0">
              <w:t>940-970- 880- 450- 360- 650- 390</w:t>
            </w:r>
          </w:p>
          <w:p w:rsidR="003C42DE" w:rsidRDefault="003C42DE" w:rsidP="00AF6AD0">
            <w:pPr>
              <w:pStyle w:val="NoSpacing"/>
            </w:pPr>
          </w:p>
          <w:p w:rsidR="003C42DE" w:rsidRDefault="003C42DE" w:rsidP="00AF6AD0">
            <w:pPr>
              <w:pStyle w:val="NoSpacing"/>
            </w:pPr>
            <w:r>
              <w:t>-ardoise</w:t>
            </w:r>
          </w:p>
          <w:p w:rsidR="003C42DE" w:rsidRDefault="003C42DE" w:rsidP="00AF6AD0">
            <w:pPr>
              <w:pStyle w:val="NoSpacing"/>
            </w:pPr>
            <w:r>
              <w:t>-feuille photocopiée</w:t>
            </w:r>
          </w:p>
          <w:p w:rsidR="00011669" w:rsidRPr="003D41EE" w:rsidRDefault="00011669" w:rsidP="00011669">
            <w:pPr>
              <w:pStyle w:val="NoSpacing"/>
            </w:pPr>
          </w:p>
        </w:tc>
      </w:tr>
      <w:tr w:rsidR="001026FE" w:rsidRPr="003D41EE" w:rsidTr="003C42DE">
        <w:trPr>
          <w:trHeight w:val="416"/>
        </w:trPr>
        <w:tc>
          <w:tcPr>
            <w:tcW w:w="1227" w:type="dxa"/>
          </w:tcPr>
          <w:p w:rsidR="001026FE" w:rsidRDefault="001026FE" w:rsidP="001026FE">
            <w:pPr>
              <w:pStyle w:val="NoSpacing"/>
              <w:rPr>
                <w:color w:val="FF0000"/>
              </w:rPr>
            </w:pPr>
            <w:r w:rsidRPr="0077335F">
              <w:rPr>
                <w:color w:val="FF0000"/>
              </w:rPr>
              <w:t>N°3</w:t>
            </w:r>
          </w:p>
          <w:p w:rsidR="009C216A" w:rsidRPr="0077335F" w:rsidRDefault="009C216A" w:rsidP="001026FE">
            <w:pPr>
              <w:pStyle w:val="NoSpacing"/>
              <w:rPr>
                <w:color w:val="FF0000"/>
              </w:rPr>
            </w:pPr>
            <w:r>
              <w:rPr>
                <w:color w:val="FF0000"/>
              </w:rPr>
              <w:t>25 min</w:t>
            </w:r>
          </w:p>
        </w:tc>
        <w:tc>
          <w:tcPr>
            <w:tcW w:w="2012" w:type="dxa"/>
          </w:tcPr>
          <w:p w:rsidR="001026FE" w:rsidRDefault="001E3213" w:rsidP="001026FE">
            <w:pPr>
              <w:pStyle w:val="NoSpacing"/>
            </w:pPr>
            <w:r w:rsidRPr="003D41EE">
              <w:t>R</w:t>
            </w:r>
            <w:r w:rsidR="001026FE" w:rsidRPr="003D41EE">
              <w:t>enforcement</w:t>
            </w:r>
          </w:p>
          <w:p w:rsidR="001E3213" w:rsidRPr="003D41EE" w:rsidRDefault="001E3213" w:rsidP="001026FE">
            <w:pPr>
              <w:pStyle w:val="NoSpacing"/>
            </w:pPr>
          </w:p>
          <w:p w:rsidR="001026FE" w:rsidRPr="003D41EE" w:rsidRDefault="001026FE" w:rsidP="001026FE">
            <w:pPr>
              <w:pStyle w:val="NoSpacing"/>
            </w:pPr>
            <w:r w:rsidRPr="003D41EE">
              <w:t>réinvestissement</w:t>
            </w:r>
          </w:p>
          <w:p w:rsidR="001026FE" w:rsidRPr="003D41EE" w:rsidRDefault="001026FE" w:rsidP="001026FE">
            <w:pPr>
              <w:pStyle w:val="NoSpacing"/>
            </w:pPr>
          </w:p>
        </w:tc>
        <w:tc>
          <w:tcPr>
            <w:tcW w:w="2259" w:type="dxa"/>
          </w:tcPr>
          <w:p w:rsidR="001026FE" w:rsidRPr="003D41EE" w:rsidRDefault="003C73A1" w:rsidP="001026FE">
            <w:pPr>
              <w:pStyle w:val="NoSpacing"/>
            </w:pPr>
            <w:r>
              <w:t>Mener les élèves à réinvestir leurs connaissances et adapter leurs stratégies pour des compléments plus complexes qu’en séances 1 et 2.</w:t>
            </w:r>
          </w:p>
        </w:tc>
        <w:tc>
          <w:tcPr>
            <w:tcW w:w="3253" w:type="dxa"/>
          </w:tcPr>
          <w:p w:rsidR="00AF6AD0" w:rsidRDefault="00011669" w:rsidP="001026FE">
            <w:pPr>
              <w:pStyle w:val="NoSpacing"/>
            </w:pPr>
            <w:r>
              <w:t>La référence aux représentations doit être progressivement distancée. Elles disparaitront après l’étude de la procédure. A</w:t>
            </w:r>
            <w:r w:rsidR="00E23050">
              <w:t>f</w:t>
            </w:r>
            <w:r>
              <w:t>in de favoriser l’utilisation des procédures les plus efficaces.</w:t>
            </w:r>
          </w:p>
          <w:p w:rsidR="001E3213" w:rsidRDefault="001E3213" w:rsidP="001026FE">
            <w:pPr>
              <w:pStyle w:val="NoSpacing"/>
            </w:pPr>
            <w:r>
              <w:t>Au tableau sans reprendre tous les cas (particulièrement s’ils fonctionnent) on peut faire reformuler les étapes.</w:t>
            </w:r>
          </w:p>
          <w:p w:rsidR="003C42DE" w:rsidRDefault="003C42DE" w:rsidP="001026FE">
            <w:pPr>
              <w:pStyle w:val="NoSpacing"/>
            </w:pPr>
          </w:p>
          <w:p w:rsidR="003C42DE" w:rsidRDefault="003C42DE" w:rsidP="001026FE">
            <w:pPr>
              <w:pStyle w:val="NoSpacing"/>
            </w:pPr>
            <w:r>
              <w:t>-</w:t>
            </w:r>
            <w:r w:rsidRPr="003C73A1">
              <w:rPr>
                <w:u w:val="single"/>
              </w:rPr>
              <w:t>obstacle</w:t>
            </w:r>
            <w:r>
              <w:t>: certains élèves vont à la dizaine supérieure, à la centaine supérieure, mais oublient les retenues.</w:t>
            </w:r>
          </w:p>
          <w:p w:rsidR="003C42DE" w:rsidRDefault="003C42DE" w:rsidP="001026FE">
            <w:pPr>
              <w:pStyle w:val="NoSpacing"/>
            </w:pPr>
            <w:r>
              <w:t xml:space="preserve">=&gt; </w:t>
            </w:r>
            <w:r w:rsidRPr="003C73A1">
              <w:rPr>
                <w:u w:val="single"/>
              </w:rPr>
              <w:t>remédiation</w:t>
            </w:r>
            <w:r>
              <w:t> : demander que l’élève passe par un schéma (sauts de puce…)</w:t>
            </w:r>
          </w:p>
          <w:p w:rsidR="00AF6AD0" w:rsidRDefault="00AF6AD0" w:rsidP="001026FE">
            <w:pPr>
              <w:pStyle w:val="NoSpacing"/>
            </w:pPr>
          </w:p>
          <w:p w:rsidR="00AF6AD0" w:rsidRDefault="00AF6AD0" w:rsidP="001026FE">
            <w:pPr>
              <w:pStyle w:val="NoSpacing"/>
            </w:pPr>
          </w:p>
          <w:p w:rsidR="00AF6AD0" w:rsidRDefault="00AF6AD0" w:rsidP="001026FE">
            <w:pPr>
              <w:pStyle w:val="NoSpacing"/>
            </w:pPr>
          </w:p>
          <w:p w:rsidR="00AF6AD0" w:rsidRDefault="00AF6AD0" w:rsidP="001026FE">
            <w:pPr>
              <w:pStyle w:val="NoSpacing"/>
            </w:pPr>
          </w:p>
          <w:p w:rsidR="001E3213" w:rsidRDefault="001E3213" w:rsidP="001026FE">
            <w:pPr>
              <w:pStyle w:val="NoSpacing"/>
            </w:pPr>
          </w:p>
          <w:p w:rsidR="001E3213" w:rsidRPr="003D41EE" w:rsidRDefault="001E3213" w:rsidP="001026FE">
            <w:pPr>
              <w:pStyle w:val="NoSpacing"/>
            </w:pPr>
            <w:r>
              <w:t>Lecture et explication de la trace écrite.</w:t>
            </w:r>
          </w:p>
        </w:tc>
        <w:tc>
          <w:tcPr>
            <w:tcW w:w="2735" w:type="dxa"/>
          </w:tcPr>
          <w:p w:rsidR="001026FE" w:rsidRDefault="00011669" w:rsidP="001026FE">
            <w:pPr>
              <w:pStyle w:val="NoSpacing"/>
            </w:pPr>
            <w:r>
              <w:t xml:space="preserve"> </w:t>
            </w:r>
          </w:p>
          <w:p w:rsidR="001E3213" w:rsidRDefault="003C42DE" w:rsidP="001026FE">
            <w:pPr>
              <w:pStyle w:val="NoSpacing"/>
            </w:pPr>
            <w:r>
              <w:t>-ardoise</w:t>
            </w:r>
          </w:p>
          <w:p w:rsidR="003C42DE" w:rsidRDefault="003C42DE" w:rsidP="001026FE">
            <w:pPr>
              <w:pStyle w:val="NoSpacing"/>
            </w:pPr>
            <w:r>
              <w:t>-feuille photocopiée</w:t>
            </w:r>
          </w:p>
          <w:p w:rsidR="001E3213" w:rsidRDefault="001E3213" w:rsidP="001026FE">
            <w:pPr>
              <w:pStyle w:val="NoSpacing"/>
            </w:pPr>
          </w:p>
          <w:p w:rsidR="001E3213" w:rsidRDefault="001E3213" w:rsidP="001026FE">
            <w:pPr>
              <w:pStyle w:val="NoSpacing"/>
            </w:pPr>
          </w:p>
          <w:p w:rsidR="001E3213" w:rsidRDefault="001E3213" w:rsidP="001026FE">
            <w:pPr>
              <w:pStyle w:val="NoSpacing"/>
            </w:pPr>
          </w:p>
          <w:p w:rsidR="001E3213" w:rsidRDefault="001E3213" w:rsidP="001026FE">
            <w:pPr>
              <w:pStyle w:val="NoSpacing"/>
            </w:pPr>
            <w:r>
              <w:t>Compléter les nombres suivants pour arriver à 1000</w:t>
            </w:r>
          </w:p>
          <w:p w:rsidR="001E3213" w:rsidRDefault="00AF6AD0" w:rsidP="001E3213">
            <w:pPr>
              <w:pStyle w:val="NoSpacing"/>
            </w:pPr>
            <w:r>
              <w:t>Choisir le bon complément à 1000 parmi ceux proposés.</w:t>
            </w:r>
          </w:p>
          <w:p w:rsidR="00AF6AD0" w:rsidRDefault="00AF6AD0" w:rsidP="001E3213">
            <w:pPr>
              <w:pStyle w:val="NoSpacing"/>
            </w:pPr>
            <w:r>
              <w:t>Compléter chaque nombre pour obtenir 1000</w:t>
            </w:r>
          </w:p>
          <w:p w:rsidR="00AF6AD0" w:rsidRDefault="00AF6AD0" w:rsidP="001E3213">
            <w:pPr>
              <w:pStyle w:val="NoSpacing"/>
            </w:pPr>
            <w:r>
              <w:t>742-493-597-169- 228</w:t>
            </w:r>
          </w:p>
          <w:p w:rsidR="003C42DE" w:rsidRDefault="003C42DE" w:rsidP="001E3213">
            <w:pPr>
              <w:pStyle w:val="NoSpacing"/>
            </w:pPr>
          </w:p>
          <w:p w:rsidR="003C42DE" w:rsidRDefault="003C42DE" w:rsidP="001E3213">
            <w:pPr>
              <w:pStyle w:val="NoSpacing"/>
            </w:pPr>
            <w:r>
              <w:t xml:space="preserve">Certains élèves voient des rapports entre les nombres et se servent des résultats obtenus dans les exercices A et B pour compléter l’exercice C. </w:t>
            </w:r>
          </w:p>
          <w:p w:rsidR="003C42DE" w:rsidRDefault="003C42DE" w:rsidP="001E3213">
            <w:pPr>
              <w:pStyle w:val="NoSpacing"/>
            </w:pPr>
          </w:p>
          <w:p w:rsidR="003C42DE" w:rsidRDefault="003C42DE" w:rsidP="001E3213">
            <w:pPr>
              <w:pStyle w:val="NoSpacing"/>
            </w:pPr>
          </w:p>
          <w:p w:rsidR="001E3213" w:rsidRPr="003D41EE" w:rsidRDefault="003C42DE" w:rsidP="001026FE">
            <w:pPr>
              <w:pStyle w:val="NoSpacing"/>
            </w:pPr>
            <w:r>
              <w:rPr>
                <w:noProof/>
                <w:lang w:eastAsia="fr-FR"/>
              </w:rPr>
              <w:drawing>
                <wp:inline distT="0" distB="0" distL="0" distR="0" wp14:anchorId="3ACE853F" wp14:editId="1FDA85C6">
                  <wp:extent cx="1870118" cy="1858575"/>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72031" cy="1860477"/>
                          </a:xfrm>
                          <a:prstGeom prst="rect">
                            <a:avLst/>
                          </a:prstGeom>
                        </pic:spPr>
                      </pic:pic>
                    </a:graphicData>
                  </a:graphic>
                </wp:inline>
              </w:drawing>
            </w:r>
          </w:p>
        </w:tc>
      </w:tr>
      <w:tr w:rsidR="001026FE" w:rsidRPr="003D41EE" w:rsidTr="001005A3">
        <w:trPr>
          <w:trHeight w:val="2566"/>
        </w:trPr>
        <w:tc>
          <w:tcPr>
            <w:tcW w:w="1227" w:type="dxa"/>
          </w:tcPr>
          <w:p w:rsidR="001026FE" w:rsidRDefault="001026FE" w:rsidP="001026FE">
            <w:pPr>
              <w:pStyle w:val="NoSpacing"/>
              <w:rPr>
                <w:color w:val="FF0000"/>
              </w:rPr>
            </w:pPr>
            <w:r w:rsidRPr="0077335F">
              <w:rPr>
                <w:color w:val="FF0000"/>
              </w:rPr>
              <w:lastRenderedPageBreak/>
              <w:t>N°4</w:t>
            </w:r>
          </w:p>
          <w:p w:rsidR="009C216A" w:rsidRPr="0077335F" w:rsidRDefault="009C216A" w:rsidP="001026FE">
            <w:pPr>
              <w:pStyle w:val="NoSpacing"/>
              <w:rPr>
                <w:color w:val="FF0000"/>
              </w:rPr>
            </w:pPr>
            <w:r>
              <w:rPr>
                <w:color w:val="FF0000"/>
              </w:rPr>
              <w:t>15 min</w:t>
            </w:r>
          </w:p>
        </w:tc>
        <w:tc>
          <w:tcPr>
            <w:tcW w:w="2012" w:type="dxa"/>
          </w:tcPr>
          <w:p w:rsidR="001026FE" w:rsidRPr="003D41EE" w:rsidRDefault="001026FE" w:rsidP="001026FE">
            <w:pPr>
              <w:pStyle w:val="NoSpacing"/>
            </w:pPr>
            <w:r w:rsidRPr="003D41EE">
              <w:t>renforcement</w:t>
            </w:r>
          </w:p>
          <w:p w:rsidR="001026FE" w:rsidRPr="003D41EE" w:rsidRDefault="001026FE" w:rsidP="001026FE">
            <w:pPr>
              <w:pStyle w:val="NoSpacing"/>
            </w:pPr>
            <w:r w:rsidRPr="003D41EE">
              <w:t>réinvestissement</w:t>
            </w:r>
          </w:p>
          <w:p w:rsidR="001026FE" w:rsidRPr="003D41EE" w:rsidRDefault="001026FE" w:rsidP="001026FE">
            <w:pPr>
              <w:pStyle w:val="NoSpacing"/>
            </w:pPr>
          </w:p>
        </w:tc>
        <w:tc>
          <w:tcPr>
            <w:tcW w:w="2259" w:type="dxa"/>
          </w:tcPr>
          <w:p w:rsidR="001026FE" w:rsidRPr="003D41EE" w:rsidRDefault="003C73A1" w:rsidP="003C73A1">
            <w:pPr>
              <w:pStyle w:val="NoSpacing"/>
            </w:pPr>
            <w:r>
              <w:t xml:space="preserve">Mener les élèves à réinvestir leurs connaissances et adapter leurs stratégies </w:t>
            </w:r>
            <w:r>
              <w:t>par rapport à des situations-problèmes.</w:t>
            </w:r>
          </w:p>
        </w:tc>
        <w:tc>
          <w:tcPr>
            <w:tcW w:w="3253" w:type="dxa"/>
          </w:tcPr>
          <w:p w:rsidR="003C42DE" w:rsidRDefault="003C73A1" w:rsidP="003C42DE">
            <w:pPr>
              <w:pStyle w:val="NoSpacing"/>
            </w:pPr>
            <w:r w:rsidRPr="003C73A1">
              <w:rPr>
                <w:u w:val="single"/>
              </w:rPr>
              <w:t>Eno</w:t>
            </w:r>
            <w:r w:rsidR="003C42DE" w:rsidRPr="003C73A1">
              <w:rPr>
                <w:u w:val="single"/>
              </w:rPr>
              <w:t>ncés des problèmes à résoudre</w:t>
            </w:r>
            <w:r w:rsidR="003C42DE">
              <w:t> :</w:t>
            </w:r>
          </w:p>
          <w:p w:rsidR="003C42DE" w:rsidRDefault="003C42DE" w:rsidP="003C42DE">
            <w:pPr>
              <w:pStyle w:val="NoSpacing"/>
            </w:pPr>
            <w:r>
              <w:t>Hugo a 150 billes. Combien de billes lui faut-il pour arriver à 1 000 ?</w:t>
            </w:r>
          </w:p>
          <w:p w:rsidR="003C42DE" w:rsidRDefault="003C42DE" w:rsidP="003C42DE">
            <w:pPr>
              <w:pStyle w:val="NoSpacing"/>
            </w:pPr>
            <w:r>
              <w:t>Lisa a 471 timbres. Son album  peut contenir 1 000 timbres. Combien Lisa peut-elle encore placer de timbres ?</w:t>
            </w:r>
          </w:p>
          <w:p w:rsidR="003C42DE" w:rsidRDefault="003C42DE" w:rsidP="003C42DE">
            <w:pPr>
              <w:pStyle w:val="NoSpacing"/>
            </w:pPr>
            <w:r>
              <w:t xml:space="preserve">Sami a 469 images et Malika en a 311. Combien leur </w:t>
            </w:r>
            <w:proofErr w:type="spellStart"/>
            <w:r>
              <w:t>manque t</w:t>
            </w:r>
            <w:proofErr w:type="spellEnd"/>
            <w:r>
              <w:t>-il d’images </w:t>
            </w:r>
            <w:r>
              <w:t>pour en avoir 1000</w:t>
            </w:r>
            <w:r>
              <w:t>?</w:t>
            </w:r>
          </w:p>
          <w:p w:rsidR="003C42DE" w:rsidRDefault="003C42DE" w:rsidP="003C42DE">
            <w:pPr>
              <w:pStyle w:val="NoSpacing"/>
            </w:pPr>
          </w:p>
          <w:p w:rsidR="003C42DE" w:rsidRDefault="003C42DE" w:rsidP="003C42DE">
            <w:pPr>
              <w:pStyle w:val="NoSpacing"/>
            </w:pPr>
            <w:r w:rsidRPr="003C73A1">
              <w:rPr>
                <w:u w:val="single"/>
              </w:rPr>
              <w:t>Consigne</w:t>
            </w:r>
            <w:r>
              <w:t> : Tu écris les calculs que tu fais dans ta tête puis tu rédiges une phrase- réponse.</w:t>
            </w:r>
          </w:p>
          <w:p w:rsidR="003C42DE" w:rsidRDefault="003C42DE" w:rsidP="003C42DE">
            <w:pPr>
              <w:pStyle w:val="NoSpacing"/>
            </w:pPr>
          </w:p>
          <w:p w:rsidR="003C42DE" w:rsidRDefault="003C42DE" w:rsidP="003C42DE">
            <w:pPr>
              <w:pStyle w:val="NoSpacing"/>
            </w:pPr>
            <w:r w:rsidRPr="003C73A1">
              <w:rPr>
                <w:u w:val="single"/>
              </w:rPr>
              <w:t>Différenciation</w:t>
            </w:r>
            <w:r>
              <w:t xml:space="preserve"> pour les élèves en difficultés : </w:t>
            </w:r>
            <w:r>
              <w:t>rappel des synthèses précédentes</w:t>
            </w:r>
          </w:p>
          <w:p w:rsidR="003C73A1" w:rsidRDefault="003C73A1" w:rsidP="003C42DE">
            <w:pPr>
              <w:pStyle w:val="NoSpacing"/>
            </w:pPr>
          </w:p>
          <w:p w:rsidR="003C73A1" w:rsidRDefault="003C73A1" w:rsidP="003C42DE">
            <w:pPr>
              <w:pStyle w:val="NoSpacing"/>
            </w:pPr>
            <w:r w:rsidRPr="003C73A1">
              <w:rPr>
                <w:u w:val="single"/>
              </w:rPr>
              <w:t>Obstacle</w:t>
            </w:r>
            <w:r>
              <w:t> : la lecture de la consigne du 3</w:t>
            </w:r>
            <w:r w:rsidRPr="003C73A1">
              <w:rPr>
                <w:vertAlign w:val="superscript"/>
              </w:rPr>
              <w:t>ème</w:t>
            </w:r>
            <w:r>
              <w:t xml:space="preserve"> problème demande une clarification : les deux enfants mettent leur cartes ensemble.</w:t>
            </w:r>
          </w:p>
          <w:p w:rsidR="001026FE" w:rsidRPr="003D41EE" w:rsidRDefault="001026FE" w:rsidP="001026FE">
            <w:pPr>
              <w:pStyle w:val="NoSpacing"/>
            </w:pPr>
          </w:p>
        </w:tc>
        <w:tc>
          <w:tcPr>
            <w:tcW w:w="2735" w:type="dxa"/>
          </w:tcPr>
          <w:p w:rsidR="001E3213" w:rsidRDefault="003C42DE" w:rsidP="003C42DE">
            <w:pPr>
              <w:pStyle w:val="NoSpacing"/>
            </w:pPr>
            <w:r>
              <w:t>-ardoise</w:t>
            </w:r>
          </w:p>
          <w:p w:rsidR="003C42DE" w:rsidRDefault="003C42DE" w:rsidP="003C42DE">
            <w:pPr>
              <w:pStyle w:val="NoSpacing"/>
            </w:pPr>
            <w:r>
              <w:t>-feuille photocopiée</w:t>
            </w:r>
          </w:p>
          <w:p w:rsidR="003C42DE" w:rsidRDefault="003C42DE" w:rsidP="003C42DE">
            <w:pPr>
              <w:pStyle w:val="NoSpacing"/>
            </w:pPr>
          </w:p>
          <w:p w:rsidR="003C42DE" w:rsidRDefault="003C42DE" w:rsidP="003C42DE">
            <w:pPr>
              <w:pStyle w:val="NoSpacing"/>
            </w:pPr>
            <w:r>
              <w:t xml:space="preserve"> </w:t>
            </w:r>
          </w:p>
          <w:p w:rsidR="003C42DE" w:rsidRDefault="003C42DE" w:rsidP="003C42DE">
            <w:pPr>
              <w:pStyle w:val="NoSpacing"/>
            </w:pPr>
          </w:p>
          <w:p w:rsidR="003C42DE" w:rsidRDefault="003C42DE" w:rsidP="003C42DE">
            <w:pPr>
              <w:pStyle w:val="NoSpacing"/>
            </w:pPr>
          </w:p>
          <w:p w:rsidR="003C42DE" w:rsidRPr="003D41EE" w:rsidRDefault="003C42DE" w:rsidP="003C42DE">
            <w:pPr>
              <w:pStyle w:val="NoSpacing"/>
            </w:pPr>
          </w:p>
        </w:tc>
      </w:tr>
      <w:tr w:rsidR="001026FE" w:rsidRPr="003D41EE" w:rsidTr="001005A3">
        <w:trPr>
          <w:trHeight w:val="2566"/>
        </w:trPr>
        <w:tc>
          <w:tcPr>
            <w:tcW w:w="1227" w:type="dxa"/>
          </w:tcPr>
          <w:p w:rsidR="001026FE" w:rsidRDefault="001026FE" w:rsidP="001026FE">
            <w:pPr>
              <w:pStyle w:val="NoSpacing"/>
              <w:rPr>
                <w:color w:val="FF0000"/>
              </w:rPr>
            </w:pPr>
            <w:r w:rsidRPr="0077335F">
              <w:rPr>
                <w:color w:val="FF0000"/>
              </w:rPr>
              <w:t>N°5</w:t>
            </w:r>
          </w:p>
          <w:p w:rsidR="009C216A" w:rsidRPr="0077335F" w:rsidRDefault="009C216A" w:rsidP="001026FE">
            <w:pPr>
              <w:pStyle w:val="NoSpacing"/>
              <w:rPr>
                <w:color w:val="FF0000"/>
              </w:rPr>
            </w:pPr>
            <w:r>
              <w:rPr>
                <w:color w:val="FF0000"/>
              </w:rPr>
              <w:t>25 min</w:t>
            </w:r>
            <w:bookmarkStart w:id="0" w:name="_GoBack"/>
            <w:bookmarkEnd w:id="0"/>
          </w:p>
        </w:tc>
        <w:tc>
          <w:tcPr>
            <w:tcW w:w="2012" w:type="dxa"/>
          </w:tcPr>
          <w:p w:rsidR="005802AF" w:rsidRPr="003D41EE" w:rsidRDefault="005802AF" w:rsidP="005802AF">
            <w:pPr>
              <w:pStyle w:val="NoSpacing"/>
            </w:pPr>
            <w:r w:rsidRPr="003D41EE">
              <w:t>renforcement</w:t>
            </w:r>
          </w:p>
          <w:p w:rsidR="001026FE" w:rsidRPr="003D41EE" w:rsidRDefault="001005A3" w:rsidP="001026FE">
            <w:pPr>
              <w:pStyle w:val="NoSpacing"/>
            </w:pPr>
            <w:r>
              <w:t>INFORMATIQUE</w:t>
            </w:r>
          </w:p>
        </w:tc>
        <w:tc>
          <w:tcPr>
            <w:tcW w:w="2259" w:type="dxa"/>
          </w:tcPr>
          <w:p w:rsidR="001026FE" w:rsidRPr="003D41EE" w:rsidRDefault="003C73A1" w:rsidP="001026FE">
            <w:pPr>
              <w:pStyle w:val="NoSpacing"/>
            </w:pPr>
            <w:r>
              <w:t>Mener les élèves à réinvestir leurs connaissances sur un autre support.</w:t>
            </w:r>
          </w:p>
        </w:tc>
        <w:tc>
          <w:tcPr>
            <w:tcW w:w="3253" w:type="dxa"/>
          </w:tcPr>
          <w:p w:rsidR="001026FE" w:rsidRPr="003D41EE" w:rsidRDefault="001005A3" w:rsidP="001026FE">
            <w:pPr>
              <w:pStyle w:val="NoSpacing"/>
            </w:pPr>
            <w:r>
              <w:t>Les élèves sont installés en binômes par tablettes. Une fiche de travail précise l’exercice et le niveau prévu pour chacun des groupes. Chaque exercice est fait deux fois. (un chacun). Ils sont encouragés à communiquer sur leurs procédures et à s’aider un peu. Ils doivent compléter la fiche d’exercices avec leur score.</w:t>
            </w:r>
          </w:p>
        </w:tc>
        <w:tc>
          <w:tcPr>
            <w:tcW w:w="2735" w:type="dxa"/>
          </w:tcPr>
          <w:tbl>
            <w:tblPr>
              <w:tblStyle w:val="TableGrid"/>
              <w:tblW w:w="0" w:type="auto"/>
              <w:tblLook w:val="04A0" w:firstRow="1" w:lastRow="0" w:firstColumn="1" w:lastColumn="0" w:noHBand="0" w:noVBand="1"/>
            </w:tblPr>
            <w:tblGrid>
              <w:gridCol w:w="1670"/>
              <w:gridCol w:w="1254"/>
            </w:tblGrid>
            <w:tr w:rsidR="001005A3" w:rsidTr="001005A3">
              <w:tc>
                <w:tcPr>
                  <w:tcW w:w="1253" w:type="dxa"/>
                </w:tcPr>
                <w:p w:rsidR="001005A3" w:rsidRDefault="001005A3" w:rsidP="00E23050">
                  <w:pPr>
                    <w:pStyle w:val="NoSpacing"/>
                    <w:framePr w:hSpace="141" w:wrap="around" w:vAnchor="text" w:hAnchor="margin" w:x="-1207" w:y="206"/>
                  </w:pPr>
                  <w:r>
                    <w:t>exercices</w:t>
                  </w:r>
                </w:p>
              </w:tc>
              <w:tc>
                <w:tcPr>
                  <w:tcW w:w="1254" w:type="dxa"/>
                </w:tcPr>
                <w:p w:rsidR="001005A3" w:rsidRDefault="001005A3" w:rsidP="00E23050">
                  <w:pPr>
                    <w:pStyle w:val="NoSpacing"/>
                    <w:framePr w:hSpace="141" w:wrap="around" w:vAnchor="text" w:hAnchor="margin" w:x="-1207" w:y="206"/>
                  </w:pPr>
                  <w:r>
                    <w:t>Score</w:t>
                  </w:r>
                </w:p>
              </w:tc>
            </w:tr>
            <w:tr w:rsidR="001005A3" w:rsidTr="001005A3">
              <w:tc>
                <w:tcPr>
                  <w:tcW w:w="1253" w:type="dxa"/>
                </w:tcPr>
                <w:p w:rsidR="001005A3" w:rsidRDefault="001005A3" w:rsidP="00E23050">
                  <w:pPr>
                    <w:pStyle w:val="NoSpacing"/>
                    <w:framePr w:hSpace="141" w:wrap="around" w:vAnchor="text" w:hAnchor="margin" w:x="-1207" w:y="206"/>
                  </w:pPr>
                  <w:proofErr w:type="spellStart"/>
                  <w:r>
                    <w:t>Multiclic</w:t>
                  </w:r>
                  <w:proofErr w:type="spellEnd"/>
                  <w:r>
                    <w:t xml:space="preserve"> 3</w:t>
                  </w:r>
                </w:p>
              </w:tc>
              <w:tc>
                <w:tcPr>
                  <w:tcW w:w="1254" w:type="dxa"/>
                </w:tcPr>
                <w:p w:rsidR="001005A3" w:rsidRDefault="001005A3" w:rsidP="00E23050">
                  <w:pPr>
                    <w:pStyle w:val="NoSpacing"/>
                    <w:framePr w:hSpace="141" w:wrap="around" w:vAnchor="text" w:hAnchor="margin" w:x="-1207" w:y="206"/>
                  </w:pPr>
                </w:p>
              </w:tc>
            </w:tr>
            <w:tr w:rsidR="001005A3" w:rsidTr="001005A3">
              <w:tc>
                <w:tcPr>
                  <w:tcW w:w="1253" w:type="dxa"/>
                </w:tcPr>
                <w:p w:rsidR="001005A3" w:rsidRDefault="001005A3" w:rsidP="00E23050">
                  <w:pPr>
                    <w:pStyle w:val="NoSpacing"/>
                    <w:framePr w:hSpace="141" w:wrap="around" w:vAnchor="text" w:hAnchor="margin" w:x="-1207" w:y="206"/>
                  </w:pPr>
                  <w:r>
                    <w:t>Complétement1</w:t>
                  </w:r>
                </w:p>
              </w:tc>
              <w:tc>
                <w:tcPr>
                  <w:tcW w:w="1254" w:type="dxa"/>
                </w:tcPr>
                <w:p w:rsidR="001005A3" w:rsidRDefault="001005A3" w:rsidP="00E23050">
                  <w:pPr>
                    <w:pStyle w:val="NoSpacing"/>
                    <w:framePr w:hSpace="141" w:wrap="around" w:vAnchor="text" w:hAnchor="margin" w:x="-1207" w:y="206"/>
                  </w:pPr>
                </w:p>
              </w:tc>
            </w:tr>
            <w:tr w:rsidR="001005A3" w:rsidTr="001005A3">
              <w:tc>
                <w:tcPr>
                  <w:tcW w:w="1253" w:type="dxa"/>
                </w:tcPr>
                <w:p w:rsidR="001005A3" w:rsidRDefault="001005A3" w:rsidP="00E23050">
                  <w:pPr>
                    <w:pStyle w:val="NoSpacing"/>
                    <w:framePr w:hSpace="141" w:wrap="around" w:vAnchor="text" w:hAnchor="margin" w:x="-1207" w:y="206"/>
                  </w:pPr>
                  <w:r>
                    <w:t>Complétement2</w:t>
                  </w:r>
                </w:p>
              </w:tc>
              <w:tc>
                <w:tcPr>
                  <w:tcW w:w="1254" w:type="dxa"/>
                </w:tcPr>
                <w:p w:rsidR="001005A3" w:rsidRDefault="001005A3" w:rsidP="00E23050">
                  <w:pPr>
                    <w:pStyle w:val="NoSpacing"/>
                    <w:framePr w:hSpace="141" w:wrap="around" w:vAnchor="text" w:hAnchor="margin" w:x="-1207" w:y="206"/>
                  </w:pPr>
                </w:p>
              </w:tc>
            </w:tr>
            <w:tr w:rsidR="001005A3" w:rsidTr="001005A3">
              <w:tc>
                <w:tcPr>
                  <w:tcW w:w="1253" w:type="dxa"/>
                </w:tcPr>
                <w:p w:rsidR="001005A3" w:rsidRDefault="001005A3" w:rsidP="00E23050">
                  <w:pPr>
                    <w:pStyle w:val="NoSpacing"/>
                    <w:framePr w:hSpace="141" w:wrap="around" w:vAnchor="text" w:hAnchor="margin" w:x="-1207" w:y="206"/>
                  </w:pPr>
                  <w:r>
                    <w:t>La caisse 1</w:t>
                  </w:r>
                </w:p>
              </w:tc>
              <w:tc>
                <w:tcPr>
                  <w:tcW w:w="1254" w:type="dxa"/>
                </w:tcPr>
                <w:p w:rsidR="001005A3" w:rsidRDefault="001005A3" w:rsidP="00E23050">
                  <w:pPr>
                    <w:pStyle w:val="NoSpacing"/>
                    <w:framePr w:hSpace="141" w:wrap="around" w:vAnchor="text" w:hAnchor="margin" w:x="-1207" w:y="206"/>
                  </w:pPr>
                </w:p>
              </w:tc>
            </w:tr>
            <w:tr w:rsidR="001005A3" w:rsidTr="001005A3">
              <w:tc>
                <w:tcPr>
                  <w:tcW w:w="1253" w:type="dxa"/>
                </w:tcPr>
                <w:p w:rsidR="001005A3" w:rsidRDefault="001005A3" w:rsidP="00E23050">
                  <w:pPr>
                    <w:pStyle w:val="NoSpacing"/>
                    <w:framePr w:hSpace="141" w:wrap="around" w:vAnchor="text" w:hAnchor="margin" w:x="-1207" w:y="206"/>
                  </w:pPr>
                  <w:r>
                    <w:t>La caisse 2</w:t>
                  </w:r>
                </w:p>
              </w:tc>
              <w:tc>
                <w:tcPr>
                  <w:tcW w:w="1254" w:type="dxa"/>
                </w:tcPr>
                <w:p w:rsidR="001005A3" w:rsidRDefault="001005A3" w:rsidP="00E23050">
                  <w:pPr>
                    <w:pStyle w:val="NoSpacing"/>
                    <w:framePr w:hSpace="141" w:wrap="around" w:vAnchor="text" w:hAnchor="margin" w:x="-1207" w:y="206"/>
                  </w:pPr>
                </w:p>
              </w:tc>
            </w:tr>
          </w:tbl>
          <w:p w:rsidR="001026FE" w:rsidRPr="003D41EE" w:rsidRDefault="001026FE" w:rsidP="001026FE">
            <w:pPr>
              <w:pStyle w:val="NoSpacing"/>
            </w:pPr>
          </w:p>
        </w:tc>
      </w:tr>
      <w:tr w:rsidR="001026FE" w:rsidRPr="003D41EE" w:rsidTr="001005A3">
        <w:trPr>
          <w:trHeight w:val="2566"/>
        </w:trPr>
        <w:tc>
          <w:tcPr>
            <w:tcW w:w="1227" w:type="dxa"/>
          </w:tcPr>
          <w:p w:rsidR="001026FE" w:rsidRPr="0077335F" w:rsidRDefault="001026FE" w:rsidP="001026FE">
            <w:pPr>
              <w:pStyle w:val="NoSpacing"/>
              <w:rPr>
                <w:color w:val="FF0000"/>
              </w:rPr>
            </w:pPr>
            <w:r w:rsidRPr="0077335F">
              <w:rPr>
                <w:color w:val="FF0000"/>
              </w:rPr>
              <w:t>évaluation</w:t>
            </w:r>
          </w:p>
        </w:tc>
        <w:tc>
          <w:tcPr>
            <w:tcW w:w="10259" w:type="dxa"/>
            <w:gridSpan w:val="4"/>
          </w:tcPr>
          <w:p w:rsidR="001026FE" w:rsidRPr="003D41EE" w:rsidRDefault="003C73A1" w:rsidP="001026FE">
            <w:pPr>
              <w:pStyle w:val="NoSpacing"/>
            </w:pPr>
            <w:r>
              <w:t>Des exercices comme dans la séance 3 et 4 sont proposés.</w:t>
            </w:r>
          </w:p>
        </w:tc>
      </w:tr>
    </w:tbl>
    <w:p w:rsidR="00077F45" w:rsidRDefault="00077F45" w:rsidP="00077F45">
      <w:pPr>
        <w:pStyle w:val="NoSpacing"/>
      </w:pPr>
    </w:p>
    <w:sectPr w:rsidR="00077F45" w:rsidSect="00077F45">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845" w:rsidRDefault="00F92845" w:rsidP="001008DC">
      <w:pPr>
        <w:spacing w:after="0" w:line="240" w:lineRule="auto"/>
      </w:pPr>
      <w:r>
        <w:separator/>
      </w:r>
    </w:p>
  </w:endnote>
  <w:endnote w:type="continuationSeparator" w:id="0">
    <w:p w:rsidR="00F92845" w:rsidRDefault="00F92845" w:rsidP="0010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xie Readable">
    <w:altName w:val="Times New Roman"/>
    <w:charset w:val="00"/>
    <w:family w:val="auto"/>
    <w:pitch w:val="variable"/>
    <w:sig w:usb0="00000001" w:usb1="5000245A" w:usb2="0000001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845" w:rsidRDefault="00F92845" w:rsidP="001008DC">
      <w:pPr>
        <w:spacing w:after="0" w:line="240" w:lineRule="auto"/>
      </w:pPr>
      <w:r>
        <w:separator/>
      </w:r>
    </w:p>
  </w:footnote>
  <w:footnote w:type="continuationSeparator" w:id="0">
    <w:p w:rsidR="00F92845" w:rsidRDefault="00F92845" w:rsidP="001008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4A"/>
    <w:rsid w:val="00011669"/>
    <w:rsid w:val="00033FDA"/>
    <w:rsid w:val="00077F45"/>
    <w:rsid w:val="000849D8"/>
    <w:rsid w:val="000D44DF"/>
    <w:rsid w:val="001005A3"/>
    <w:rsid w:val="001008DC"/>
    <w:rsid w:val="001026FE"/>
    <w:rsid w:val="00190471"/>
    <w:rsid w:val="001E3213"/>
    <w:rsid w:val="002337C8"/>
    <w:rsid w:val="002527FE"/>
    <w:rsid w:val="002F5A16"/>
    <w:rsid w:val="003234B0"/>
    <w:rsid w:val="00346B86"/>
    <w:rsid w:val="00370FD4"/>
    <w:rsid w:val="003C42DE"/>
    <w:rsid w:val="003C73A1"/>
    <w:rsid w:val="003D41EE"/>
    <w:rsid w:val="003F2E11"/>
    <w:rsid w:val="00484553"/>
    <w:rsid w:val="005802AF"/>
    <w:rsid w:val="005A27BD"/>
    <w:rsid w:val="005D5F98"/>
    <w:rsid w:val="005F22EF"/>
    <w:rsid w:val="006105DC"/>
    <w:rsid w:val="00610E56"/>
    <w:rsid w:val="006D17A6"/>
    <w:rsid w:val="007344B5"/>
    <w:rsid w:val="0077335F"/>
    <w:rsid w:val="007F4FBD"/>
    <w:rsid w:val="0083384A"/>
    <w:rsid w:val="00872D85"/>
    <w:rsid w:val="009C216A"/>
    <w:rsid w:val="00AF6AD0"/>
    <w:rsid w:val="00B56D47"/>
    <w:rsid w:val="00C1304E"/>
    <w:rsid w:val="00CC3FE5"/>
    <w:rsid w:val="00D0731D"/>
    <w:rsid w:val="00D64FF2"/>
    <w:rsid w:val="00E23050"/>
    <w:rsid w:val="00ED0015"/>
    <w:rsid w:val="00ED0B7C"/>
    <w:rsid w:val="00ED2AF3"/>
    <w:rsid w:val="00F92845"/>
    <w:rsid w:val="00F9385E"/>
    <w:rsid w:val="00FE4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FE5"/>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F45"/>
    <w:rPr>
      <w:sz w:val="22"/>
      <w:szCs w:val="22"/>
      <w:lang w:eastAsia="en-US"/>
    </w:rPr>
  </w:style>
  <w:style w:type="table" w:styleId="TableGrid">
    <w:name w:val="Table Grid"/>
    <w:basedOn w:val="TableNormal"/>
    <w:uiPriority w:val="39"/>
    <w:rsid w:val="006D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08DC"/>
    <w:pPr>
      <w:tabs>
        <w:tab w:val="center" w:pos="4536"/>
        <w:tab w:val="right" w:pos="9072"/>
      </w:tabs>
    </w:pPr>
    <w:rPr>
      <w:lang w:val="x-none"/>
    </w:rPr>
  </w:style>
  <w:style w:type="character" w:customStyle="1" w:styleId="HeaderChar">
    <w:name w:val="Header Char"/>
    <w:link w:val="Header"/>
    <w:uiPriority w:val="99"/>
    <w:rsid w:val="001008DC"/>
    <w:rPr>
      <w:sz w:val="22"/>
      <w:szCs w:val="22"/>
      <w:lang w:eastAsia="en-US"/>
    </w:rPr>
  </w:style>
  <w:style w:type="paragraph" w:styleId="Footer">
    <w:name w:val="footer"/>
    <w:basedOn w:val="Normal"/>
    <w:link w:val="FooterChar"/>
    <w:uiPriority w:val="99"/>
    <w:unhideWhenUsed/>
    <w:rsid w:val="001008DC"/>
    <w:pPr>
      <w:tabs>
        <w:tab w:val="center" w:pos="4536"/>
        <w:tab w:val="right" w:pos="9072"/>
      </w:tabs>
    </w:pPr>
    <w:rPr>
      <w:lang w:val="x-none"/>
    </w:rPr>
  </w:style>
  <w:style w:type="character" w:customStyle="1" w:styleId="FooterChar">
    <w:name w:val="Footer Char"/>
    <w:link w:val="Footer"/>
    <w:uiPriority w:val="99"/>
    <w:rsid w:val="001008DC"/>
    <w:rPr>
      <w:sz w:val="22"/>
      <w:szCs w:val="22"/>
      <w:lang w:eastAsia="en-US"/>
    </w:rPr>
  </w:style>
  <w:style w:type="paragraph" w:styleId="BalloonText">
    <w:name w:val="Balloon Text"/>
    <w:basedOn w:val="Normal"/>
    <w:link w:val="BalloonTextChar"/>
    <w:uiPriority w:val="99"/>
    <w:semiHidden/>
    <w:unhideWhenUsed/>
    <w:rsid w:val="00E23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05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FE5"/>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F45"/>
    <w:rPr>
      <w:sz w:val="22"/>
      <w:szCs w:val="22"/>
      <w:lang w:eastAsia="en-US"/>
    </w:rPr>
  </w:style>
  <w:style w:type="table" w:styleId="TableGrid">
    <w:name w:val="Table Grid"/>
    <w:basedOn w:val="TableNormal"/>
    <w:uiPriority w:val="39"/>
    <w:rsid w:val="006D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08DC"/>
    <w:pPr>
      <w:tabs>
        <w:tab w:val="center" w:pos="4536"/>
        <w:tab w:val="right" w:pos="9072"/>
      </w:tabs>
    </w:pPr>
    <w:rPr>
      <w:lang w:val="x-none"/>
    </w:rPr>
  </w:style>
  <w:style w:type="character" w:customStyle="1" w:styleId="HeaderChar">
    <w:name w:val="Header Char"/>
    <w:link w:val="Header"/>
    <w:uiPriority w:val="99"/>
    <w:rsid w:val="001008DC"/>
    <w:rPr>
      <w:sz w:val="22"/>
      <w:szCs w:val="22"/>
      <w:lang w:eastAsia="en-US"/>
    </w:rPr>
  </w:style>
  <w:style w:type="paragraph" w:styleId="Footer">
    <w:name w:val="footer"/>
    <w:basedOn w:val="Normal"/>
    <w:link w:val="FooterChar"/>
    <w:uiPriority w:val="99"/>
    <w:unhideWhenUsed/>
    <w:rsid w:val="001008DC"/>
    <w:pPr>
      <w:tabs>
        <w:tab w:val="center" w:pos="4536"/>
        <w:tab w:val="right" w:pos="9072"/>
      </w:tabs>
    </w:pPr>
    <w:rPr>
      <w:lang w:val="x-none"/>
    </w:rPr>
  </w:style>
  <w:style w:type="character" w:customStyle="1" w:styleId="FooterChar">
    <w:name w:val="Footer Char"/>
    <w:link w:val="Footer"/>
    <w:uiPriority w:val="99"/>
    <w:rsid w:val="001008DC"/>
    <w:rPr>
      <w:sz w:val="22"/>
      <w:szCs w:val="22"/>
      <w:lang w:eastAsia="en-US"/>
    </w:rPr>
  </w:style>
  <w:style w:type="paragraph" w:styleId="BalloonText">
    <w:name w:val="Balloon Text"/>
    <w:basedOn w:val="Normal"/>
    <w:link w:val="BalloonTextChar"/>
    <w:uiPriority w:val="99"/>
    <w:semiHidden/>
    <w:unhideWhenUsed/>
    <w:rsid w:val="00E23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05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4054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Academie Montpellier</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Dupraz Genevieve</dc:creator>
  <cp:lastModifiedBy>Laure</cp:lastModifiedBy>
  <cp:revision>2</cp:revision>
  <dcterms:created xsi:type="dcterms:W3CDTF">2018-06-02T06:25:00Z</dcterms:created>
  <dcterms:modified xsi:type="dcterms:W3CDTF">2018-06-02T06:25:00Z</dcterms:modified>
</cp:coreProperties>
</file>